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09"/>
      </w:tblGrid>
      <w:tr w:rsidR="003B0F83" w14:paraId="5E991918" w14:textId="77777777" w:rsidTr="00C36CA3">
        <w:trPr>
          <w:trHeight w:val="709"/>
        </w:trPr>
        <w:tc>
          <w:tcPr>
            <w:tcW w:w="15309" w:type="dxa"/>
            <w:shd w:val="clear" w:color="auto" w:fill="DEEAF6" w:themeFill="accent5" w:themeFillTint="33"/>
            <w:vAlign w:val="center"/>
          </w:tcPr>
          <w:p w14:paraId="7376BE56" w14:textId="305A08B4" w:rsidR="003B0F83" w:rsidRDefault="003B0F83" w:rsidP="003B0F83">
            <w:pPr>
              <w:jc w:val="center"/>
              <w:rPr>
                <w:b/>
                <w:bCs/>
                <w:sz w:val="32"/>
                <w:szCs w:val="32"/>
              </w:rPr>
            </w:pPr>
            <w:r w:rsidRPr="00F25300">
              <w:rPr>
                <w:b/>
                <w:bCs/>
                <w:sz w:val="32"/>
                <w:szCs w:val="32"/>
              </w:rPr>
              <w:t xml:space="preserve">Reiseplan </w:t>
            </w:r>
            <w:r w:rsidRPr="00F25300">
              <w:rPr>
                <w:sz w:val="32"/>
                <w:szCs w:val="32"/>
              </w:rPr>
              <w:t xml:space="preserve">von der Schweiz nach Calès </w:t>
            </w:r>
            <w:r w:rsidRPr="00F25300">
              <w:rPr>
                <w:i/>
                <w:iCs/>
                <w:sz w:val="32"/>
                <w:szCs w:val="32"/>
              </w:rPr>
              <w:t>in der Dordogne Region</w:t>
            </w:r>
            <w:r>
              <w:rPr>
                <w:i/>
                <w:iCs/>
                <w:sz w:val="32"/>
                <w:szCs w:val="32"/>
              </w:rPr>
              <w:t>,</w:t>
            </w:r>
            <w:r w:rsidRPr="00F25300">
              <w:rPr>
                <w:sz w:val="32"/>
                <w:szCs w:val="32"/>
              </w:rPr>
              <w:t xml:space="preserve"> Frankreich</w:t>
            </w:r>
          </w:p>
        </w:tc>
      </w:tr>
    </w:tbl>
    <w:p w14:paraId="5870BA7F" w14:textId="77777777" w:rsidR="006B5A29" w:rsidRPr="003B0F83" w:rsidRDefault="006B5A29" w:rsidP="003B0F83">
      <w:pPr>
        <w:spacing w:before="240" w:after="120"/>
      </w:pPr>
      <w:r w:rsidRPr="003B0F83">
        <w:t xml:space="preserve">Die Reise führt von </w:t>
      </w:r>
      <w:r w:rsidRPr="003B0F83">
        <w:rPr>
          <w:b/>
          <w:bCs/>
        </w:rPr>
        <w:t>Basel</w:t>
      </w:r>
      <w:r w:rsidRPr="003B0F83">
        <w:t xml:space="preserve"> in die wunderschöne Region </w:t>
      </w:r>
      <w:r w:rsidRPr="003B0F83">
        <w:rPr>
          <w:b/>
          <w:bCs/>
        </w:rPr>
        <w:t>Nouvelle-Aquitaine</w:t>
      </w:r>
      <w:r w:rsidRPr="003B0F83">
        <w:t xml:space="preserve">, nach </w:t>
      </w:r>
      <w:r w:rsidRPr="001E467B">
        <w:t>Bordeaux</w:t>
      </w:r>
      <w:r w:rsidRPr="003B0F83">
        <w:t xml:space="preserve"> und weiter nach </w:t>
      </w:r>
      <w:r w:rsidRPr="001E467B">
        <w:rPr>
          <w:b/>
          <w:bCs/>
        </w:rPr>
        <w:t>Trémolat</w:t>
      </w:r>
      <w:r w:rsidRPr="003B0F83">
        <w:t>, wo alle Gäste herzlich empfangen werden.</w:t>
      </w:r>
    </w:p>
    <w:p w14:paraId="77AF85A8" w14:textId="77777777" w:rsidR="006B5A29" w:rsidRPr="003B0F83" w:rsidRDefault="006B5A29" w:rsidP="00F25300">
      <w:pPr>
        <w:spacing w:after="120"/>
      </w:pPr>
      <w:r w:rsidRPr="003B0F83">
        <w:t xml:space="preserve">Am </w:t>
      </w:r>
      <w:r w:rsidRPr="003B0F83">
        <w:rPr>
          <w:b/>
          <w:bCs/>
        </w:rPr>
        <w:t>Bahnhof Trémolat</w:t>
      </w:r>
      <w:r w:rsidRPr="003B0F83">
        <w:t xml:space="preserve"> steht ein </w:t>
      </w:r>
      <w:r w:rsidRPr="003B0F83">
        <w:rPr>
          <w:b/>
          <w:bCs/>
        </w:rPr>
        <w:t>Abholservice</w:t>
      </w:r>
      <w:r w:rsidRPr="003B0F83">
        <w:t xml:space="preserve"> für Sie bereit, und es gibt </w:t>
      </w:r>
      <w:r w:rsidRPr="003B0F83">
        <w:rPr>
          <w:b/>
          <w:bCs/>
        </w:rPr>
        <w:t>ausreichend Parkplätze</w:t>
      </w:r>
      <w:r w:rsidRPr="003B0F83">
        <w:t xml:space="preserve"> für alle Gäste, die mit dem Auto anreisen.</w:t>
      </w:r>
    </w:p>
    <w:p w14:paraId="23A770F9" w14:textId="77777777" w:rsidR="006B5A29" w:rsidRPr="003B0F83" w:rsidRDefault="006B5A29" w:rsidP="006B5A29">
      <w:pPr>
        <w:spacing w:after="120"/>
      </w:pPr>
      <w:r w:rsidRPr="003B0F83">
        <w:t xml:space="preserve">Je nach persönlicher Präferenz können Sie zwischen </w:t>
      </w:r>
      <w:r w:rsidRPr="003B0F83">
        <w:rPr>
          <w:b/>
          <w:bCs/>
        </w:rPr>
        <w:t>Zug</w:t>
      </w:r>
      <w:r w:rsidRPr="003B0F83">
        <w:t xml:space="preserve">, </w:t>
      </w:r>
      <w:r w:rsidRPr="003B0F83">
        <w:rPr>
          <w:b/>
          <w:bCs/>
        </w:rPr>
        <w:t>Flug</w:t>
      </w:r>
      <w:r w:rsidRPr="003B0F83">
        <w:t xml:space="preserve"> oder </w:t>
      </w:r>
      <w:r w:rsidRPr="003B0F83">
        <w:rPr>
          <w:b/>
          <w:bCs/>
        </w:rPr>
        <w:t>Auto</w:t>
      </w:r>
      <w:r w:rsidRPr="003B0F83">
        <w:t xml:space="preserve"> wählen:</w:t>
      </w:r>
    </w:p>
    <w:p w14:paraId="5A09692B" w14:textId="77777777" w:rsidR="00F05E26" w:rsidRDefault="00F05E26" w:rsidP="006B5A29">
      <w:pPr>
        <w:spacing w:after="0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9"/>
        <w:gridCol w:w="4515"/>
        <w:gridCol w:w="704"/>
        <w:gridCol w:w="4405"/>
        <w:gridCol w:w="695"/>
        <w:gridCol w:w="4480"/>
      </w:tblGrid>
      <w:tr w:rsidR="00C41247" w14:paraId="3D8204DC" w14:textId="77777777" w:rsidTr="00C41247">
        <w:tc>
          <w:tcPr>
            <w:tcW w:w="589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</w:tcBorders>
          </w:tcPr>
          <w:p w14:paraId="4E246D39" w14:textId="5D49C554" w:rsidR="006B5A29" w:rsidRDefault="006B5A29" w:rsidP="006B5A29"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w:drawing>
                <wp:inline distT="0" distB="0" distL="0" distR="0" wp14:anchorId="72241582" wp14:editId="6D5A0EF0">
                  <wp:extent cx="237067" cy="237067"/>
                  <wp:effectExtent l="0" t="0" r="0" b="0"/>
                  <wp:docPr id="1190041787" name="Grafik 1" descr="Straßenbah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0041787" name="Grafik 1190041787" descr="Straßenbahn"/>
                          <pic:cNvPicPr/>
                        </pic:nvPicPr>
                        <pic:blipFill>
                          <a:blip r:embed="rId5">
                            <a:extLs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44324" cy="244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5" w:type="dxa"/>
            <w:tcBorders>
              <w:top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0430E9E" w14:textId="2211FC7C" w:rsidR="006B5A29" w:rsidRDefault="006B5A29" w:rsidP="006B5A29">
            <w:r w:rsidRPr="00BB49E3">
              <w:rPr>
                <w:b/>
                <w:bCs/>
                <w:color w:val="2F5496" w:themeColor="accent1" w:themeShade="BF"/>
                <w:sz w:val="28"/>
                <w:szCs w:val="28"/>
              </w:rPr>
              <w:t>Option 1: Anreise mit dem Zug</w:t>
            </w:r>
          </w:p>
        </w:tc>
        <w:tc>
          <w:tcPr>
            <w:tcW w:w="704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</w:tcBorders>
          </w:tcPr>
          <w:p w14:paraId="3CBECE14" w14:textId="75C88F68" w:rsidR="006B5A29" w:rsidRDefault="006B5A29" w:rsidP="00C41247">
            <w:pPr>
              <w:jc w:val="right"/>
            </w:pPr>
            <w:r>
              <w:rPr>
                <w:b/>
                <w:bCs/>
                <w:noProof/>
                <w:color w:val="4472C4" w:themeColor="accent1"/>
                <w:sz w:val="28"/>
                <w:szCs w:val="28"/>
              </w:rPr>
              <w:drawing>
                <wp:inline distT="0" distB="0" distL="0" distR="0" wp14:anchorId="2A32743B" wp14:editId="6CA1C130">
                  <wp:extent cx="236855" cy="236855"/>
                  <wp:effectExtent l="0" t="0" r="0" b="0"/>
                  <wp:docPr id="299355071" name="Grafik 2" descr="Flugzeu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9355071" name="Grafik 299355071" descr="Flugzeug"/>
                          <pic:cNvPicPr/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676" cy="2386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05" w:type="dxa"/>
            <w:tcBorders>
              <w:top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0794B897" w14:textId="6F6A9217" w:rsidR="006B5A29" w:rsidRDefault="006B5A29" w:rsidP="006B5A29">
            <w:r w:rsidRPr="00BB49E3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Option </w:t>
            </w: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2</w:t>
            </w:r>
            <w:r w:rsidRPr="00BB49E3">
              <w:rPr>
                <w:b/>
                <w:bCs/>
                <w:color w:val="2F5496" w:themeColor="accent1" w:themeShade="BF"/>
                <w:sz w:val="28"/>
                <w:szCs w:val="28"/>
              </w:rPr>
              <w:t>: Anreise mit dem Flugzeug</w:t>
            </w:r>
          </w:p>
        </w:tc>
        <w:tc>
          <w:tcPr>
            <w:tcW w:w="695" w:type="dxa"/>
            <w:tcBorders>
              <w:top w:val="single" w:sz="4" w:space="0" w:color="D9E2F3" w:themeColor="accent1" w:themeTint="33"/>
              <w:left w:val="single" w:sz="4" w:space="0" w:color="D9E2F3" w:themeColor="accent1" w:themeTint="33"/>
            </w:tcBorders>
          </w:tcPr>
          <w:p w14:paraId="45FE6B09" w14:textId="1B2BE6A4" w:rsidR="006B5A29" w:rsidRPr="00C41247" w:rsidRDefault="006B5A29" w:rsidP="00C41247">
            <w:pPr>
              <w:jc w:val="right"/>
              <w:rPr>
                <w:sz w:val="32"/>
                <w:szCs w:val="32"/>
              </w:rPr>
            </w:pPr>
            <w:r w:rsidRPr="00C41247">
              <w:rPr>
                <w:rFonts w:ascii="Segoe UI Emoji" w:hAnsi="Segoe UI Emoji" w:cs="Segoe UI Emoji"/>
                <w:sz w:val="32"/>
                <w:szCs w:val="32"/>
              </w:rPr>
              <w:t>🚗</w:t>
            </w:r>
          </w:p>
        </w:tc>
        <w:tc>
          <w:tcPr>
            <w:tcW w:w="4480" w:type="dxa"/>
            <w:tcBorders>
              <w:top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F7A2FA0" w14:textId="00BA413C" w:rsidR="006B5A29" w:rsidRDefault="006B5A29" w:rsidP="006B5A29">
            <w:r w:rsidRPr="00BB49E3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Option </w:t>
            </w: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3</w:t>
            </w:r>
            <w:r w:rsidRPr="00BB49E3">
              <w:rPr>
                <w:b/>
                <w:bCs/>
                <w:color w:val="2F5496" w:themeColor="accent1" w:themeShade="BF"/>
                <w:sz w:val="28"/>
                <w:szCs w:val="28"/>
              </w:rPr>
              <w:t xml:space="preserve">: Anreise mit dem </w:t>
            </w:r>
            <w:r>
              <w:rPr>
                <w:b/>
                <w:bCs/>
                <w:color w:val="2F5496" w:themeColor="accent1" w:themeShade="BF"/>
                <w:sz w:val="28"/>
                <w:szCs w:val="28"/>
              </w:rPr>
              <w:t>Auto</w:t>
            </w:r>
          </w:p>
        </w:tc>
      </w:tr>
      <w:tr w:rsidR="00C41247" w14:paraId="33B596DB" w14:textId="77777777" w:rsidTr="00C41247">
        <w:tc>
          <w:tcPr>
            <w:tcW w:w="589" w:type="dxa"/>
            <w:tcBorders>
              <w:left w:val="single" w:sz="4" w:space="0" w:color="D9E2F3" w:themeColor="accent1" w:themeTint="33"/>
              <w:bottom w:val="single" w:sz="4" w:space="0" w:color="D9E2F3" w:themeColor="accent1" w:themeTint="33"/>
            </w:tcBorders>
          </w:tcPr>
          <w:p w14:paraId="5B5FD75B" w14:textId="77777777" w:rsidR="006B5A29" w:rsidRDefault="006B5A29" w:rsidP="006B5A29"/>
        </w:tc>
        <w:tc>
          <w:tcPr>
            <w:tcW w:w="4515" w:type="dxa"/>
            <w:tcBorders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606FD6A5" w14:textId="77777777" w:rsidR="006B5A29" w:rsidRDefault="006B5A29" w:rsidP="006B5A29">
            <w:pPr>
              <w:spacing w:before="160" w:after="120"/>
              <w:jc w:val="both"/>
            </w:pPr>
            <w:r>
              <w:t xml:space="preserve">Die Zugfahrt ist eine bequeme und umweltfreundliche Möglichkeit, nach </w:t>
            </w:r>
            <w:r w:rsidRPr="00BB49E3">
              <w:rPr>
                <w:b/>
                <w:bCs/>
              </w:rPr>
              <w:t>Trémolat über Bordeaux</w:t>
            </w:r>
            <w:r>
              <w:t xml:space="preserve"> zu reisen.</w:t>
            </w:r>
          </w:p>
          <w:p w14:paraId="3D8A506F" w14:textId="77777777" w:rsidR="006B5A29" w:rsidRPr="00BB49E3" w:rsidRDefault="006B5A29" w:rsidP="006B5A29">
            <w:pPr>
              <w:spacing w:after="120"/>
              <w:rPr>
                <w:u w:val="single"/>
                <w:lang w:val="fr-CH"/>
              </w:rPr>
            </w:pPr>
            <w:r w:rsidRPr="00BB49E3">
              <w:rPr>
                <w:u w:val="single"/>
                <w:lang w:val="fr-CH"/>
              </w:rPr>
              <w:t>Empfohlene Route :</w:t>
            </w:r>
          </w:p>
          <w:p w14:paraId="7E3C79A7" w14:textId="77777777" w:rsidR="006B5A29" w:rsidRPr="00BB49E3" w:rsidRDefault="006B5A29" w:rsidP="006B5A29">
            <w:pPr>
              <w:spacing w:after="120"/>
              <w:rPr>
                <w:lang w:val="fr-CH"/>
              </w:rPr>
            </w:pPr>
            <w:r w:rsidRPr="00BB49E3">
              <w:rPr>
                <w:lang w:val="fr-CH"/>
              </w:rPr>
              <w:tab/>
              <w:t>•</w:t>
            </w:r>
            <w:r w:rsidRPr="00BB49E3">
              <w:rPr>
                <w:lang w:val="fr-CH"/>
              </w:rPr>
              <w:tab/>
              <w:t>Basel SBB → Paris Gare de Lyon (TGV Lyria, ca. 3 Std.)</w:t>
            </w:r>
          </w:p>
          <w:p w14:paraId="7113F8DF" w14:textId="77777777" w:rsidR="006B5A29" w:rsidRDefault="006B5A29" w:rsidP="006B5A29">
            <w:pPr>
              <w:spacing w:after="120"/>
            </w:pPr>
            <w:r w:rsidRPr="00BB49E3">
              <w:rPr>
                <w:lang w:val="fr-CH"/>
              </w:rPr>
              <w:tab/>
            </w:r>
            <w:r>
              <w:t>•</w:t>
            </w:r>
            <w:r>
              <w:tab/>
              <w:t>Transfer mit der Metro Linie 14 nach Paris Montparnasse (ca. 25 Min.)</w:t>
            </w:r>
          </w:p>
          <w:p w14:paraId="263F70EF" w14:textId="77777777" w:rsidR="006B5A29" w:rsidRPr="00BB49E3" w:rsidRDefault="006B5A29" w:rsidP="006B5A29">
            <w:pPr>
              <w:rPr>
                <w:lang w:val="fr-CH"/>
              </w:rPr>
            </w:pPr>
            <w:r>
              <w:tab/>
            </w:r>
            <w:r w:rsidRPr="00BB49E3">
              <w:rPr>
                <w:lang w:val="fr-CH"/>
              </w:rPr>
              <w:t>•</w:t>
            </w:r>
            <w:r w:rsidRPr="00BB49E3">
              <w:rPr>
                <w:lang w:val="fr-CH"/>
              </w:rPr>
              <w:tab/>
              <w:t>Paris Montparnasse → Bordeaux St-Jean (TGV INOUI, ca. 2 Std.)</w:t>
            </w:r>
          </w:p>
          <w:p w14:paraId="6ADC4648" w14:textId="77777777" w:rsidR="006B5A29" w:rsidRPr="006B5A29" w:rsidRDefault="006B5A29" w:rsidP="006B5A29">
            <w:pPr>
              <w:rPr>
                <w:rFonts w:ascii="Verdana" w:hAnsi="Verdana"/>
                <w:i/>
                <w:iCs/>
                <w:lang w:val="fr-CH"/>
              </w:rPr>
            </w:pPr>
          </w:p>
          <w:p w14:paraId="1F81209C" w14:textId="77777777" w:rsidR="006B5A29" w:rsidRDefault="006B5A29" w:rsidP="006B5A29">
            <w:pPr>
              <w:spacing w:after="120"/>
              <w:rPr>
                <w:rFonts w:ascii="Verdana" w:hAnsi="Verdana"/>
                <w:i/>
                <w:iCs/>
              </w:rPr>
            </w:pPr>
            <w:r w:rsidRPr="007608E5">
              <w:rPr>
                <w:rFonts w:ascii="Verdana" w:hAnsi="Verdana"/>
                <w:i/>
                <w:iCs/>
              </w:rPr>
              <w:t>Gesamtreisezeit: ca. 6–7 Stunden</w:t>
            </w:r>
          </w:p>
          <w:p w14:paraId="1E415C26" w14:textId="77777777" w:rsidR="00C41247" w:rsidRPr="000F28BE" w:rsidRDefault="00C41247" w:rsidP="00C41247">
            <w:pPr>
              <w:spacing w:after="120"/>
              <w:ind w:firstLine="284"/>
              <w:rPr>
                <w:rFonts w:ascii="Verdana" w:hAnsi="Verdana"/>
                <w:i/>
                <w:iCs/>
              </w:rPr>
            </w:pPr>
          </w:p>
          <w:p w14:paraId="7D5497F9" w14:textId="77777777" w:rsidR="006B5A29" w:rsidRDefault="006B5A29" w:rsidP="00C41247">
            <w:pPr>
              <w:pStyle w:val="Listenabsatz"/>
              <w:numPr>
                <w:ilvl w:val="0"/>
                <w:numId w:val="3"/>
              </w:numPr>
            </w:pPr>
            <w:r>
              <w:t xml:space="preserve">Von </w:t>
            </w:r>
            <w:r w:rsidRPr="00C41247">
              <w:rPr>
                <w:b/>
                <w:bCs/>
              </w:rPr>
              <w:t>Bordeaux St-Jean</w:t>
            </w:r>
            <w:r>
              <w:t xml:space="preserve"> können Sie anschliessend einen Regionalzug nach </w:t>
            </w:r>
            <w:r w:rsidRPr="00C41247">
              <w:rPr>
                <w:b/>
                <w:bCs/>
              </w:rPr>
              <w:t>Trémolat</w:t>
            </w:r>
            <w:r>
              <w:t xml:space="preserve"> nehmen (ca. 2 Stunden über </w:t>
            </w:r>
            <w:r w:rsidRPr="00C41247">
              <w:rPr>
                <w:b/>
                <w:bCs/>
              </w:rPr>
              <w:t>Libourne</w:t>
            </w:r>
            <w:r>
              <w:t xml:space="preserve"> oder </w:t>
            </w:r>
            <w:r w:rsidRPr="00C41247">
              <w:rPr>
                <w:b/>
                <w:bCs/>
              </w:rPr>
              <w:t>Bergerac</w:t>
            </w:r>
            <w:r>
              <w:t>).</w:t>
            </w:r>
          </w:p>
          <w:p w14:paraId="69AC5AFB" w14:textId="37CCBC3E" w:rsidR="00C41247" w:rsidRDefault="00C41247" w:rsidP="00C41247">
            <w:pPr>
              <w:pStyle w:val="Listenabsatz"/>
              <w:ind w:left="360"/>
            </w:pPr>
          </w:p>
        </w:tc>
        <w:tc>
          <w:tcPr>
            <w:tcW w:w="704" w:type="dxa"/>
            <w:tcBorders>
              <w:left w:val="single" w:sz="4" w:space="0" w:color="D9E2F3" w:themeColor="accent1" w:themeTint="33"/>
              <w:bottom w:val="single" w:sz="4" w:space="0" w:color="D9E2F3" w:themeColor="accent1" w:themeTint="33"/>
            </w:tcBorders>
          </w:tcPr>
          <w:p w14:paraId="7BD32A75" w14:textId="77777777" w:rsidR="006B5A29" w:rsidRDefault="006B5A29" w:rsidP="006B5A29"/>
        </w:tc>
        <w:tc>
          <w:tcPr>
            <w:tcW w:w="4405" w:type="dxa"/>
            <w:tcBorders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7AC487D9" w14:textId="77777777" w:rsidR="006B5A29" w:rsidRDefault="006B5A29" w:rsidP="006B5A29">
            <w:pPr>
              <w:spacing w:before="160" w:after="120"/>
            </w:pPr>
            <w:r>
              <w:t>Die schnellste Variante ist der Flug von Basel–Mulhouse (BSL) nach Bordeaux (BOD).</w:t>
            </w:r>
          </w:p>
          <w:p w14:paraId="609C811F" w14:textId="77777777" w:rsidR="006B5A29" w:rsidRPr="007608E5" w:rsidRDefault="006B5A29" w:rsidP="006B5A29">
            <w:pPr>
              <w:spacing w:after="120"/>
              <w:rPr>
                <w:u w:val="single"/>
              </w:rPr>
            </w:pPr>
            <w:r w:rsidRPr="007608E5">
              <w:rPr>
                <w:u w:val="single"/>
              </w:rPr>
              <w:t>Beispielhafte Verbindung:</w:t>
            </w:r>
          </w:p>
          <w:p w14:paraId="6F1274AD" w14:textId="77777777" w:rsidR="006B5A29" w:rsidRDefault="006B5A29" w:rsidP="006B5A29">
            <w:r>
              <w:tab/>
              <w:t>•</w:t>
            </w:r>
            <w:r>
              <w:tab/>
              <w:t xml:space="preserve">Basel </w:t>
            </w:r>
            <w:r>
              <w:rPr>
                <w:rFonts w:ascii="Segoe UI Symbol" w:hAnsi="Segoe UI Symbol" w:cs="Segoe UI Symbol"/>
              </w:rPr>
              <w:t>✈</w:t>
            </w:r>
            <w:r>
              <w:t xml:space="preserve"> Bordeaux</w:t>
            </w:r>
          </w:p>
          <w:p w14:paraId="3212F8B3" w14:textId="77777777" w:rsidR="006B5A29" w:rsidRDefault="006B5A29" w:rsidP="006B5A29">
            <w:pPr>
              <w:rPr>
                <w:rFonts w:ascii="Verdana" w:hAnsi="Verdana"/>
              </w:rPr>
            </w:pPr>
          </w:p>
          <w:p w14:paraId="1CDBBB94" w14:textId="77777777" w:rsidR="006B5A29" w:rsidRDefault="006B5A29" w:rsidP="006B5A29">
            <w:pPr>
              <w:spacing w:after="120"/>
              <w:rPr>
                <w:rFonts w:ascii="Verdana" w:hAnsi="Verdana"/>
                <w:i/>
                <w:iCs/>
              </w:rPr>
            </w:pPr>
            <w:r w:rsidRPr="00B9625E">
              <w:rPr>
                <w:rFonts w:ascii="Verdana" w:hAnsi="Verdana"/>
                <w:i/>
                <w:iCs/>
              </w:rPr>
              <w:t>Flugzeit: ca. 1 Stunde 30 Minuten</w:t>
            </w:r>
          </w:p>
          <w:p w14:paraId="401B994F" w14:textId="77777777" w:rsidR="00C41247" w:rsidRPr="000F28BE" w:rsidRDefault="00C41247" w:rsidP="00C41247">
            <w:pPr>
              <w:spacing w:after="120"/>
              <w:ind w:firstLine="284"/>
              <w:rPr>
                <w:rFonts w:ascii="Verdana" w:hAnsi="Verdana"/>
                <w:i/>
                <w:iCs/>
              </w:rPr>
            </w:pPr>
          </w:p>
          <w:p w14:paraId="34B7DA5C" w14:textId="77777777" w:rsidR="006B5A29" w:rsidRDefault="006B5A29" w:rsidP="006B5A29">
            <w:pPr>
              <w:pStyle w:val="Listenabsatz"/>
              <w:numPr>
                <w:ilvl w:val="0"/>
                <w:numId w:val="1"/>
              </w:numPr>
              <w:spacing w:before="120"/>
            </w:pPr>
            <w:r>
              <w:t>Direktflüge mehrmals wöchentlich mit easyJet oder Air France</w:t>
            </w:r>
          </w:p>
          <w:p w14:paraId="1EDEC0D6" w14:textId="77777777" w:rsidR="00C36CA3" w:rsidRDefault="00C36CA3" w:rsidP="00C36CA3">
            <w:pPr>
              <w:pStyle w:val="Listenabsatz"/>
              <w:spacing w:before="120"/>
              <w:ind w:left="360"/>
            </w:pPr>
          </w:p>
          <w:p w14:paraId="0C40BABD" w14:textId="77777777" w:rsidR="006B5A29" w:rsidRDefault="006B5A29" w:rsidP="006B5A29">
            <w:pPr>
              <w:pStyle w:val="Listenabsatz"/>
              <w:numPr>
                <w:ilvl w:val="0"/>
                <w:numId w:val="1"/>
              </w:numPr>
              <w:spacing w:before="120"/>
            </w:pPr>
            <w:r>
              <w:t xml:space="preserve">Von </w:t>
            </w:r>
            <w:r w:rsidRPr="00BB49E3">
              <w:rPr>
                <w:b/>
                <w:bCs/>
              </w:rPr>
              <w:t>Bordeaux St-Jean</w:t>
            </w:r>
            <w:r>
              <w:t xml:space="preserve"> können Sie anschliessend einen Regionalzug nach </w:t>
            </w:r>
            <w:r w:rsidRPr="00BB49E3">
              <w:rPr>
                <w:b/>
                <w:bCs/>
              </w:rPr>
              <w:t>Trémolat</w:t>
            </w:r>
            <w:r>
              <w:t xml:space="preserve"> nehmen (ca. 2 Stunden über </w:t>
            </w:r>
            <w:r w:rsidRPr="00BB49E3">
              <w:rPr>
                <w:b/>
                <w:bCs/>
              </w:rPr>
              <w:t>Libourne</w:t>
            </w:r>
            <w:r>
              <w:t xml:space="preserve"> oder </w:t>
            </w:r>
            <w:r w:rsidRPr="00BB49E3">
              <w:rPr>
                <w:b/>
                <w:bCs/>
              </w:rPr>
              <w:t>Bergerac</w:t>
            </w:r>
            <w:r>
              <w:t>).</w:t>
            </w:r>
          </w:p>
          <w:p w14:paraId="142B5096" w14:textId="601AB65E" w:rsidR="006B5A29" w:rsidRDefault="006B5A29" w:rsidP="006B5A29"/>
        </w:tc>
        <w:tc>
          <w:tcPr>
            <w:tcW w:w="695" w:type="dxa"/>
            <w:tcBorders>
              <w:left w:val="single" w:sz="4" w:space="0" w:color="D9E2F3" w:themeColor="accent1" w:themeTint="33"/>
              <w:bottom w:val="single" w:sz="4" w:space="0" w:color="D9E2F3" w:themeColor="accent1" w:themeTint="33"/>
            </w:tcBorders>
          </w:tcPr>
          <w:p w14:paraId="152FC886" w14:textId="77777777" w:rsidR="006B5A29" w:rsidRDefault="006B5A29" w:rsidP="006B5A29"/>
        </w:tc>
        <w:tc>
          <w:tcPr>
            <w:tcW w:w="4480" w:type="dxa"/>
            <w:tcBorders>
              <w:bottom w:val="single" w:sz="4" w:space="0" w:color="D9E2F3" w:themeColor="accent1" w:themeTint="33"/>
              <w:right w:val="single" w:sz="4" w:space="0" w:color="D9E2F3" w:themeColor="accent1" w:themeTint="33"/>
            </w:tcBorders>
          </w:tcPr>
          <w:p w14:paraId="1CD767EE" w14:textId="77777777" w:rsidR="006B5A29" w:rsidRDefault="006B5A29" w:rsidP="006B5A29">
            <w:pPr>
              <w:spacing w:before="160" w:after="120"/>
            </w:pPr>
            <w:r>
              <w:t>Für Gäste, die lieber flexibel reisen oder unterwegs Zwischenstopps einlegen möchten, bietet sich die Anfahrt mit dem eigenen Fahrzeug an.</w:t>
            </w:r>
          </w:p>
          <w:p w14:paraId="0EBADC7F" w14:textId="77777777" w:rsidR="006B5A29" w:rsidRPr="00B9625E" w:rsidRDefault="006B5A29" w:rsidP="006B5A29">
            <w:pPr>
              <w:spacing w:after="120"/>
              <w:rPr>
                <w:u w:val="single"/>
              </w:rPr>
            </w:pPr>
            <w:r w:rsidRPr="00B9625E">
              <w:rPr>
                <w:u w:val="single"/>
              </w:rPr>
              <w:t>Empfohlene Route:</w:t>
            </w:r>
          </w:p>
          <w:p w14:paraId="31A9AF1B" w14:textId="77777777" w:rsidR="006B5A29" w:rsidRDefault="006B5A29" w:rsidP="006B5A29">
            <w:pPr>
              <w:spacing w:after="120"/>
            </w:pPr>
            <w:r>
              <w:t xml:space="preserve">Basel → Besançon → Lyon → Clermont-Ferrand → Bordeaux → Calès </w:t>
            </w:r>
          </w:p>
          <w:p w14:paraId="55AF76C6" w14:textId="5D5A6774" w:rsidR="006B5A29" w:rsidRDefault="006B5A29" w:rsidP="006B5A29">
            <w:pPr>
              <w:spacing w:after="120"/>
            </w:pPr>
            <w:r>
              <w:tab/>
              <w:t>•</w:t>
            </w:r>
            <w:r>
              <w:tab/>
              <w:t xml:space="preserve">Distanz: ca. </w:t>
            </w:r>
            <w:r w:rsidR="003B0F83">
              <w:t>875</w:t>
            </w:r>
            <w:r>
              <w:t xml:space="preserve"> km</w:t>
            </w:r>
          </w:p>
          <w:p w14:paraId="476C6D36" w14:textId="77777777" w:rsidR="006B5A29" w:rsidRDefault="006B5A29" w:rsidP="006B5A29">
            <w:pPr>
              <w:spacing w:after="120"/>
            </w:pPr>
            <w:r>
              <w:tab/>
              <w:t>•</w:t>
            </w:r>
            <w:r>
              <w:tab/>
              <w:t>Fahrzeit: ca. 9–10 Stunden</w:t>
            </w:r>
          </w:p>
          <w:p w14:paraId="25A67DF2" w14:textId="77777777" w:rsidR="006B5A29" w:rsidRDefault="006B5A29" w:rsidP="006B5A29">
            <w:pPr>
              <w:spacing w:after="120"/>
            </w:pPr>
            <w:r>
              <w:tab/>
              <w:t>•</w:t>
            </w:r>
            <w:r>
              <w:tab/>
              <w:t>Mautgebühren: ca. 70–80 € pro Strecke</w:t>
            </w:r>
          </w:p>
          <w:p w14:paraId="7F3A71C5" w14:textId="77777777" w:rsidR="006B5A29" w:rsidRDefault="006B5A29" w:rsidP="006B5A29"/>
          <w:p w14:paraId="002B9000" w14:textId="77777777" w:rsidR="006B5A29" w:rsidRDefault="006B5A29" w:rsidP="006B5A29">
            <w:pPr>
              <w:pStyle w:val="Listenabsatz"/>
              <w:numPr>
                <w:ilvl w:val="0"/>
                <w:numId w:val="2"/>
              </w:numPr>
              <w:spacing w:after="120"/>
            </w:pPr>
            <w:r>
              <w:t xml:space="preserve">In Calès stehen kostenlose </w:t>
            </w:r>
            <w:r w:rsidRPr="0071318B">
              <w:rPr>
                <w:b/>
                <w:bCs/>
              </w:rPr>
              <w:t>Parkplätze</w:t>
            </w:r>
            <w:r>
              <w:t xml:space="preserve"> direkt am Zielort zur Verfügung.</w:t>
            </w:r>
          </w:p>
          <w:p w14:paraId="5CBF5891" w14:textId="7B981A24" w:rsidR="006B5A29" w:rsidRDefault="006B5A29" w:rsidP="006B5A29"/>
        </w:tc>
      </w:tr>
    </w:tbl>
    <w:p w14:paraId="18A37F14" w14:textId="77777777" w:rsidR="006B5A29" w:rsidRDefault="006B5A29" w:rsidP="006B5A29">
      <w:pPr>
        <w:spacing w:after="0"/>
      </w:pPr>
    </w:p>
    <w:p w14:paraId="453B0218" w14:textId="77777777" w:rsidR="00C41247" w:rsidRPr="001E467B" w:rsidRDefault="00C41247" w:rsidP="00C41247">
      <w:pPr>
        <w:spacing w:after="0" w:line="240" w:lineRule="auto"/>
        <w:rPr>
          <w:b/>
          <w:bCs/>
          <w:color w:val="4472C4" w:themeColor="accent1"/>
          <w:sz w:val="24"/>
          <w:szCs w:val="24"/>
        </w:rPr>
      </w:pPr>
      <w:r w:rsidRPr="001E467B">
        <w:rPr>
          <w:b/>
          <w:bCs/>
          <w:color w:val="4472C4" w:themeColor="accent1"/>
          <w:sz w:val="24"/>
          <w:szCs w:val="24"/>
        </w:rPr>
        <w:t>Kontaktangaben für Rückfragen oder Organisation</w:t>
      </w:r>
    </w:p>
    <w:p w14:paraId="565A839D" w14:textId="77777777" w:rsidR="00C41247" w:rsidRDefault="00C41247" w:rsidP="00C41247">
      <w:pPr>
        <w:spacing w:after="0" w:line="240" w:lineRule="auto"/>
        <w:ind w:left="284"/>
      </w:pPr>
      <w:r>
        <w:t>Irene Meyerhans</w:t>
      </w:r>
    </w:p>
    <w:p w14:paraId="24EA2F38" w14:textId="53512E35" w:rsidR="00C41247" w:rsidRDefault="00C41247" w:rsidP="00C41247">
      <w:pPr>
        <w:spacing w:after="0" w:line="240" w:lineRule="auto"/>
        <w:ind w:left="284"/>
      </w:pPr>
      <w:r>
        <w:t xml:space="preserve">Tel.: </w:t>
      </w:r>
      <w:r w:rsidR="00C36CA3">
        <w:tab/>
      </w:r>
      <w:r w:rsidR="00C36CA3">
        <w:tab/>
      </w:r>
      <w:r>
        <w:t>079</w:t>
      </w:r>
      <w:r w:rsidR="0071318B">
        <w:t xml:space="preserve"> </w:t>
      </w:r>
      <w:r>
        <w:t>212 35 20</w:t>
      </w:r>
    </w:p>
    <w:p w14:paraId="4F0CF7DF" w14:textId="6697C1A7" w:rsidR="00C41247" w:rsidRPr="001E467B" w:rsidRDefault="00C41247" w:rsidP="00C41247">
      <w:pPr>
        <w:spacing w:after="0" w:line="240" w:lineRule="auto"/>
        <w:ind w:left="284"/>
        <w:rPr>
          <w:color w:val="000000" w:themeColor="text1"/>
        </w:rPr>
      </w:pPr>
      <w:r>
        <w:t xml:space="preserve">E-Mail: </w:t>
      </w:r>
      <w:r w:rsidR="00C36CA3">
        <w:tab/>
      </w:r>
      <w:hyperlink r:id="rId9" w:history="1">
        <w:r w:rsidR="00C36CA3" w:rsidRPr="001E467B">
          <w:rPr>
            <w:rStyle w:val="Hyperlink"/>
            <w:color w:val="000000" w:themeColor="text1"/>
          </w:rPr>
          <w:t>irene.meyerhans@bluewin.ch</w:t>
        </w:r>
      </w:hyperlink>
    </w:p>
    <w:sectPr w:rsidR="00C41247" w:rsidRPr="001E467B" w:rsidSect="006B5A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pt;height:11.2pt" o:bullet="t">
        <v:imagedata r:id="rId1" o:title="msoBACE"/>
      </v:shape>
    </w:pict>
  </w:numPicBullet>
  <w:abstractNum w:abstractNumId="0" w15:restartNumberingAfterBreak="0">
    <w:nsid w:val="185472C6"/>
    <w:multiLevelType w:val="hybridMultilevel"/>
    <w:tmpl w:val="BFCA4E30"/>
    <w:lvl w:ilvl="0" w:tplc="6456C3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2072B8"/>
    <w:multiLevelType w:val="hybridMultilevel"/>
    <w:tmpl w:val="A05A44E4"/>
    <w:lvl w:ilvl="0" w:tplc="6456C3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85729D6"/>
    <w:multiLevelType w:val="hybridMultilevel"/>
    <w:tmpl w:val="6778D43A"/>
    <w:lvl w:ilvl="0" w:tplc="6456C3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A65973"/>
    <w:multiLevelType w:val="hybridMultilevel"/>
    <w:tmpl w:val="E80A7380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F180A7E"/>
    <w:multiLevelType w:val="hybridMultilevel"/>
    <w:tmpl w:val="4C801D60"/>
    <w:lvl w:ilvl="0" w:tplc="6456C3E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60396311">
    <w:abstractNumId w:val="4"/>
  </w:num>
  <w:num w:numId="2" w16cid:durableId="456993318">
    <w:abstractNumId w:val="2"/>
  </w:num>
  <w:num w:numId="3" w16cid:durableId="1659573579">
    <w:abstractNumId w:val="1"/>
  </w:num>
  <w:num w:numId="4" w16cid:durableId="516312428">
    <w:abstractNumId w:val="3"/>
  </w:num>
  <w:num w:numId="5" w16cid:durableId="425349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28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A29"/>
    <w:rsid w:val="001B17E5"/>
    <w:rsid w:val="001E467B"/>
    <w:rsid w:val="003B0F83"/>
    <w:rsid w:val="004052B5"/>
    <w:rsid w:val="006B5A29"/>
    <w:rsid w:val="0071318B"/>
    <w:rsid w:val="00872EB0"/>
    <w:rsid w:val="009A3193"/>
    <w:rsid w:val="009C4D1E"/>
    <w:rsid w:val="00B02D6D"/>
    <w:rsid w:val="00B53454"/>
    <w:rsid w:val="00C1421A"/>
    <w:rsid w:val="00C36CA3"/>
    <w:rsid w:val="00C41247"/>
    <w:rsid w:val="00F05103"/>
    <w:rsid w:val="00F05E26"/>
    <w:rsid w:val="00F25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693168"/>
  <w15:chartTrackingRefBased/>
  <w15:docId w15:val="{9310A94A-14F1-4B5A-8957-ADD2FC29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B5A29"/>
  </w:style>
  <w:style w:type="paragraph" w:styleId="berschrift1">
    <w:name w:val="heading 1"/>
    <w:basedOn w:val="Standard"/>
    <w:next w:val="Standard"/>
    <w:link w:val="berschrift1Zchn"/>
    <w:uiPriority w:val="9"/>
    <w:qFormat/>
    <w:rsid w:val="006B5A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B5A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B5A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B5A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B5A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B5A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B5A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B5A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B5A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B5A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B5A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B5A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B5A29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B5A29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B5A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B5A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B5A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B5A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B5A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B5A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B5A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B5A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B5A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B5A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B5A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B5A29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B5A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B5A29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B5A29"/>
    <w:rPr>
      <w:b/>
      <w:bCs/>
      <w:smallCaps/>
      <w:color w:val="2F5496" w:themeColor="accent1" w:themeShade="BF"/>
      <w:spacing w:val="5"/>
    </w:rPr>
  </w:style>
  <w:style w:type="table" w:styleId="Tabellenraster">
    <w:name w:val="Table Grid"/>
    <w:basedOn w:val="NormaleTabelle"/>
    <w:uiPriority w:val="39"/>
    <w:rsid w:val="006B5A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C41247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36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svg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sv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rene.meyerhans@bluewin.ch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267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Nlabu</dc:creator>
  <cp:keywords/>
  <dc:description/>
  <cp:lastModifiedBy>Katharina Fellmann</cp:lastModifiedBy>
  <cp:revision>2</cp:revision>
  <cp:lastPrinted>2025-10-26T19:52:00Z</cp:lastPrinted>
  <dcterms:created xsi:type="dcterms:W3CDTF">2025-11-06T12:16:00Z</dcterms:created>
  <dcterms:modified xsi:type="dcterms:W3CDTF">2025-11-06T12:16:00Z</dcterms:modified>
</cp:coreProperties>
</file>